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StraMaV (Brandenburg) — Berücksichtigung von pauschalem Mehrbelastungsausgleich künftiger Jahre</w:t>
      </w:r>
    </w:p>
    <w:p>
      <w:r>
        <w:rPr>
          <w:color w:val="555555"/>
          <w:sz w:val="18"/>
        </w:rPr>
        <w:t xml:space="preserve">Straßenausbau-Mehrbelastungsausgleich-Verordnung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an die Gemeinde erstattete Betrag nach § 4 wird mit den künftigen pauschalen Mehrbelastungsausgleichszahlungen nach § 2 verrechnet.</w:t>
      </w:r>
    </w:p>
    <w:p>
      <w:r>
        <w:t xml:space="preserve">(2) Unbeschadet hiervon ist die Gemeinde berechtigt, weitere Anträge auf Fehlbetragsausgleich zu stellen.</w:t>
      </w:r>
    </w:p>
    <w:p>
      <w:r>
        <w:rPr>
          <w:color w:val="555555"/>
          <w:sz w:val="17"/>
        </w:rPr>
        <w:t xml:space="preserve">Zitiervorschlag: § 6 StraMaV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https://recht.nulegal.eu/gesetze/StraMaV/6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