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StraMaV (Brandenburg) — Zuständigkeit</w:t>
      </w:r>
    </w:p>
    <w:p>
      <w:r>
        <w:rPr>
          <w:color w:val="555555"/>
          <w:sz w:val="18"/>
        </w:rPr>
        <w:t xml:space="preserve">Straßenausbau-Mehrbelastungsausgleich-Verordnung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für die Prüfung und Gewährung des Mehrbelastungsausgleichs nach § 1 des Gesetzes über den Mehrbelastungsausgleich für kommunale Straßenausbaumaßnahmen ist das Landesamt für Bauen und Verkehr (Erstattungsbehörde).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StraMaV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https://recht.nulegal.eu/gesetze/StraMaV/1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