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StraBeVerzVO (Sachsen)</w:t>
      </w:r>
    </w:p>
    <w:p>
      <w:r>
        <w:rPr>
          <w:color w:val="555555"/>
          <w:sz w:val="18"/>
        </w:rPr>
        <w:t xml:space="preserve">Verordnung des Sächsischen Staatsministeriums für Wirtschaft, Arbeit und Verkehr über die Straßen- und Bestandsverzeichnisse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Wer ein berechtigtes Interesse nachweist, kann das Straßen- oder Bestandsverzeichnis einsehen und einfache oder beglaubigte Auszüge erhalten.</w:t>
      </w:r>
    </w:p>
    <w:p>
      <w:r>
        <w:t xml:space="preserve">(2) Den Straßenaufsichtsbehörden sind auf Verlangen beglaubigte Auszüge zu erteilen.</w:t>
      </w:r>
    </w:p>
    <w:p>
      <w:r>
        <w:rPr>
          <w:color w:val="555555"/>
          <w:sz w:val="17"/>
        </w:rPr>
        <w:t xml:space="preserve">Zitiervorschlag: § 8 StraBeVerzVO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https://recht.nulegal.eu/gesetze/StraBeVerzVO/8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