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StraBeVerzVO (Sachsen)</w:t>
      </w:r>
    </w:p>
    <w:p>
      <w:r>
        <w:rPr>
          <w:color w:val="555555"/>
          <w:sz w:val="18"/>
        </w:rPr>
        <w:t xml:space="preserve">Verordnung des Sächsischen Staatsministeriums für Wirtschaft, Arbeit und Verkehr über die Straßen- und Bestandsverzeichnisse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Treffen mehrere Straßenzüge auf einer gewissen Strecke zusammen, so ist die gemeinsame Strecke dem Straßenzug der höheren Straßenklasse zuzuordnen; der andere Straßenzug wird unterbrochen.</w:t>
      </w:r>
    </w:p>
    <w:p>
      <w:r>
        <w:t xml:space="preserve">(2) Treffen Straßenzüge derselben Straßenklasse zusammen, so ist die gemeinsame Strecke in der Regel dem Straßenzug mit der niedrigen Nummer zuzuordnen; der andere Straßenzug wird unterbrochen. Hat einer dieser Straßenzüge keine Nummer, so wird er unterbrochen. Haben beide Straßenzüge keine Nummer, so ist in der Eintragungsverfügung festzulegen, welcher Straßenzug unterbrochen wird.</w:t>
      </w:r>
    </w:p>
    <w:p>
      <w:r>
        <w:t xml:space="preserve">(3) Die Unterbrechung beginnt und endet am Schnittpunkt der Achsen.</w:t>
      </w:r>
    </w:p>
    <w:p>
      <w:r>
        <w:t xml:space="preserve">(4) Auf dem Karteiblatt beziehungsweise in der Datengruppe des unterbrochenen Straßenzuges ist die Unterbrechung in der dafür vorgesehenen Spalte, sonst in der Spalte „Bemerkungen“, zu vermerken.</w:t>
      </w:r>
    </w:p>
    <w:p>
      <w:r>
        <w:rPr>
          <w:color w:val="555555"/>
          <w:sz w:val="17"/>
        </w:rPr>
        <w:t xml:space="preserve">Zitiervorschlag: § 7 StraBeVerzVO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https://recht.nulegal.eu/gesetze/StraBeVerzVO/7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