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StraBeVerzVO (Sachsen)</w:t>
      </w:r>
    </w:p>
    <w:p>
      <w:r>
        <w:rPr>
          <w:color w:val="555555"/>
          <w:sz w:val="18"/>
        </w:rPr>
        <w:t xml:space="preserve">Verordnung des Sächsischen Staatsministeriums für Wirtschaft, Arbeit und Verkehr über die Straßen- und Bestandsverzeichnisse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Bei manueller Führung wird mit dokumentenechter schwarzer Schrift eingetragen. Für Löschungen und Hinweise wird dokumentenechte rote Schrift verwendet. Jede Eintragung ist unter Beifügung des Datums zu unterzeichnen.</w:t>
      </w:r>
    </w:p>
    <w:p>
      <w:r>
        <w:t xml:space="preserve">(2) Vor einer Änderung des in automatisierter Form geführten Verzeichnisses sind die ursprünglichen Daten in einer Archivdatei zu speichern.</w:t>
      </w:r>
    </w:p>
    <w:p>
      <w:r>
        <w:rPr>
          <w:color w:val="555555"/>
          <w:sz w:val="17"/>
        </w:rPr>
        <w:t xml:space="preserve">Zitiervorschlag: § 4 StraBeVerzVO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https://recht.nulegal.eu/gesetze/StraBeVerzVO/4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