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StraBeVerzVO (Sachsen)</w:t>
      </w:r>
    </w:p>
    <w:p>
      <w:r>
        <w:rPr>
          <w:color w:val="555555"/>
          <w:sz w:val="18"/>
        </w:rPr>
        <w:t xml:space="preserve">Verordnung des Sächsischen Staatsministeriums für Wirtschaft, Arbeit und Verkehr über die Straßen- und Bestandsverzeichnisse</w:t>
      </w:r>
    </w:p>
    <w:p>
      <w:r>
        <w:rPr>
          <w:color w:val="555555"/>
          <w:sz w:val="18"/>
        </w:rPr>
        <w:t xml:space="preserve">Landesrecht Sachsen</w:t>
      </w:r>
    </w:p>
    <w:p>
      <w:r>
        <w:rPr>
          <w:color w:val="555555"/>
          <w:sz w:val="18"/>
        </w:rPr>
        <w:t xml:space="preserve">Stand: 26.08.2026 (konsolidierte Textfassung, kein amtliches Inkrafttretensdatum)</w:t>
      </w:r>
    </w:p>
    <w:p>
      <w:r>
        <w:t xml:space="preserve">Jede Eintragung in das Straßen- und Bestandsverzeichnis wird von der verzeichnisführenden Behörde (§ 4 Satz 4 SächsStrG ) schriftlich verfügt. Die Erstanlegung kann als eine Sammeleintragung erfolgen. In der Verfügung sind die einzutragenden Sachverhalte und ihre rechtlichen Grundlagen kurz, aber erschöpfend und eindeutig anzugeben. Eintragungen in die Verzeichnisse sind nach den Mustern der Anlagen 9.1 bis 9.3 zu verfügen.</w:t>
      </w:r>
    </w:p>
    <w:p>
      <w:r>
        <w:rPr>
          <w:color w:val="555555"/>
          <w:sz w:val="17"/>
        </w:rPr>
        <w:t xml:space="preserve">Zitiervorschlag: § 3 StraBeVerzVO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https://recht.nulegal.eu/gesetze/StraBeVerzVO/3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