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StraBeVerzVO (Sachsen)</w:t>
      </w:r>
    </w:p>
    <w:p>
      <w:r>
        <w:rPr>
          <w:color w:val="555555"/>
          <w:sz w:val="18"/>
        </w:rPr>
        <w:t xml:space="preserve">Verordnung des Sächsischen Staatsministeriums für Wirtschaft, Arbeit und Verkehr über die Straßen- und Bestandsverzeichnisse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16. Februar 1993 in Kraft.</w:t>
      </w:r>
    </w:p>
    <w:p>
      <w:r>
        <w:t xml:space="preserve">Dresden, den 4. Januar 1995</w:t>
      </w:r>
    </w:p>
    <w:p>
      <w:r>
        <w:t xml:space="preserve">Der Staatsminister</w:t>
      </w:r>
    </w:p>
    <w:p>
      <w:r>
        <w:t xml:space="preserve">für Wirtschaft und Arbeit</w:t>
      </w:r>
    </w:p>
    <w:p>
      <w:r>
        <w:t xml:space="preserve">Dr. Kajo Schommer</w:t>
      </w:r>
    </w:p>
    <w:p>
      <w:r>
        <w:rPr>
          <w:color w:val="555555"/>
          <w:sz w:val="17"/>
        </w:rPr>
        <w:t xml:space="preserve">Zitiervorschlag: § 16 StraBeVerzVO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https://recht.nulegal.eu/gesetze/StraBeVerzVO/16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