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StraBeVerzVO (Sachsen)</w:t>
      </w:r>
    </w:p>
    <w:p>
      <w:r>
        <w:rPr>
          <w:color w:val="555555"/>
          <w:sz w:val="18"/>
        </w:rPr>
        <w:t xml:space="preserve">Verordnung des Sächsischen Staatsministeriums für Wirtschaft, Arbeit und Verkehr über die Straßen- und Bestandsverzeichnisse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haben für Gemeindestraßen und für alle sonstigen öffentlichen Straßen jeweils ein eigenes Bestandsverzeichnis zu führen, in das die Straßenzüge aufzunehmen sind, die in ihrem Amtsbereich liegen.</w:t>
      </w:r>
    </w:p>
    <w:p>
      <w:r>
        <w:t xml:space="preserve">(2) Führt eine Straße über das Gemeindegebiet hinaus, so ist sie von der Grenze an als eigener Straßenzug mit besonderer Bezeichnung und Nummer zu behandeln.</w:t>
      </w:r>
    </w:p>
    <w:p>
      <w:r>
        <w:t xml:space="preserve">(3) Die Karteiblätter oder Datensätze sind fortlaufend zu numerieren.</w:t>
      </w:r>
    </w:p>
    <w:p>
      <w:r>
        <w:rPr>
          <w:color w:val="555555"/>
          <w:sz w:val="17"/>
        </w:rPr>
        <w:t xml:space="preserve">Zitiervorschlag: § 13 StraBeVerzVO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https://recht.nulegal.eu/gesetze/StraBeVerzVO/13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