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Karteiblätter oder Datengruppen angelegt, so sind Kopien davon von der verzeichnisführenden Behörde den beteiligten Trägern der Straßenbaulast und dem Landesamt für Straßenbau und Verkehr zu übersenden.</w:t>
      </w:r>
    </w:p>
    <w:p>
      <w:r>
        <w:t xml:space="preserve">(2) Diese Stellen sind von jeder sie betreffenden weiteren Eintragung oder Löschung nach dem Muster der Anlage 12 zu benachrichtigen.</w:t>
      </w:r>
    </w:p>
    <w:p>
      <w:r>
        <w:rPr>
          <w:color w:val="555555"/>
          <w:sz w:val="17"/>
        </w:rPr>
        <w:t xml:space="preserve">Zitiervorschlag: § 12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