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Straßenverzeichnis erhalten die Eintragungen fortlaufende Nummern. In der Regel erhält jede besonders verfügte Eintragung eine besondere Nummer, doch können auch mehrere Verfügungen in einer Eintragung zusammengefaßt werden.</w:t>
      </w:r>
    </w:p>
    <w:p>
      <w:r>
        <w:t xml:space="preserve">(2) Bundes-, Staats- und Kreisstraßen können in Abschnitte eingeteilt werden. Für größere Abschnitte ist in der Regel ein Einzelblatt (§ 6 Abs. 4 Satz 1) anzulegen.</w:t>
      </w:r>
    </w:p>
    <w:p>
      <w:r>
        <w:rPr>
          <w:color w:val="555555"/>
          <w:sz w:val="17"/>
        </w:rPr>
        <w:t xml:space="preserve">Zitiervorschlag: § 10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