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StraBEG — Persönlicher Umfang der Abgeltungswirkung</w:t>
      </w:r>
    </w:p>
    <w:p>
      <w:r>
        <w:rPr>
          <w:color w:val="555555"/>
          <w:sz w:val="18"/>
        </w:rPr>
        <w:t xml:space="preserve">Strafbefreiungserklärungsgesetz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Abgeltungswirkung nach § 8 erstreckt sich neben dem Steuerschuldner auf alle Gesamtschuldner.</w:t>
      </w:r>
    </w:p>
    <w:p>
      <w:r>
        <w:rPr>
          <w:color w:val="555555"/>
          <w:sz w:val="17"/>
        </w:rPr>
        <w:t xml:space="preserve">Zitiervorschlag: § 9 StraBEG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