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StraBEG — Verwendungsbeschränkung</w:t>
      </w:r>
    </w:p>
    <w:p>
      <w:r>
        <w:rPr>
          <w:color w:val="555555"/>
          <w:sz w:val="18"/>
        </w:rPr>
        <w:t xml:space="preserve">Strafbefreiungserklärungsgesetz</w:t>
      </w:r>
    </w:p>
    <w:p>
      <w:r>
        <w:rPr>
          <w:color w:val="555555"/>
          <w:sz w:val="18"/>
        </w:rPr>
        <w:t xml:space="preserve">Stand: 10.06.2019 (konsolidierte Textfassung, kein amtliches Inkrafttretensdatum)</w:t>
      </w:r>
    </w:p>
    <w:p>
      <w:r>
        <w:t xml:space="preserve">(1) Der Inhalt einer strafbefreienden Erklärung (geschützte Daten) darf vorbehaltlich des Absatzes 2 ohne Einwilligung des Betroffenen nur zur Durchführung dieses Gesetzes sowie für Verfahren im Sinne des § 30 Abs. 2 Nr. 1 Buchstabe a und b der Abgabenordnung, die sich auf Besteuerungszeiträume und Besteuerungszeitpunkte nach 2002 beziehen, verwendet werden.</w:t>
      </w:r>
    </w:p>
    <w:p>
      <w:r>
        <w:t xml:space="preserve">(2) Die nach Absatz 1 geschützten Daten dürfen zur Durchführung eines strafrechtlichen Verfahrens wegen eines Verbrechens oder eines vorsätzlichen Vergehens, das im Höchstmaß mit Freiheitsstrafe von mehr als drei Jahren bedroht ist, an die zuständigen Strafverfolgungsbehörden und Gerichte übermittelt werden. Die Übermittlung darf nur auf Ersuchen erfolgen und nicht dazu dienen, ein Verfahren einzuleiten. Die Daten dürfen nicht zum Nachteil der Personen, die nach diesem Gesetz Straf- Straf- oder Bußgeldbefreiung erlangt haben, zu Beweiszwecken verwertet werden.</w:t>
      </w:r>
    </w:p>
    <w:p>
      <w:r>
        <w:rPr>
          <w:color w:val="555555"/>
          <w:sz w:val="17"/>
        </w:rPr>
        <w:t xml:space="preserve">Zitiervorschlag: § 13 StraBEG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