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StraBEG — Besondere Verfolgungsverjährung</w:t>
      </w:r>
    </w:p>
    <w:p>
      <w:r>
        <w:rPr>
          <w:color w:val="555555"/>
          <w:sz w:val="18"/>
        </w:rPr>
        <w:t xml:space="preserve">Strafbefreiungserklärungsgesetz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Taten im Sinne des § 1 Abs. 1 Satz 1 und Handlungen im Sinne des § 6, die sich auf vor dem 1. Januar 1993 entstandene Ansprüche auf Einkommen- oder Körperschaftsteuer, Umsatzsteuer, Vermögensteuer, Gewerbesteuer und Erbschaft- und Schenkungsteuer sowie auf damit zusammenhängende steuerliche Nebenleistungen beziehen, können nach dem 31. Dezember 2003 nicht mehr verfolgt werden, wenn eine wirksame strafbefreiende Erklärung abgegeben wurde; dies gilt auch, wenn sich später herausstellt, dass diese Erklärung unvollständig war. Satz 1 gilt auch dann, wenn die Tat oder Handlung erst nach dem 31. Dezember 1992 begangen wurde.</w:t>
      </w:r>
    </w:p>
    <w:p>
      <w:r>
        <w:t xml:space="preserve">(2) Absatz 1 gilt auch für Taten und Handlungen, die sich auf Ansprüche auf Steuerabzugsbeträge beziehen, die nach dem Einkommensteuergesetz vor dem 1. Januar 1993 einzubehalten waren.</w:t>
      </w:r>
    </w:p>
    <w:p>
      <w:r>
        <w:rPr>
          <w:color w:val="555555"/>
          <w:sz w:val="17"/>
        </w:rPr>
        <w:t xml:space="preserve">Zitiervorschlag: § 11 StraBEG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https://recht.nulegal.eu/gesetze/StraBEG/11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