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StraBEG — Besondere Vorschriften</w:t>
      </w:r>
    </w:p>
    <w:p>
      <w:r>
        <w:rPr>
          <w:color w:val="555555"/>
          <w:sz w:val="18"/>
        </w:rPr>
        <w:t xml:space="preserve">Strafbefreiungserklärungsgesetz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§ 1 Abs. 1 Satz 1 Nr. 2 zu entrichtende Betrag gilt als Einkommensteuer; dies gilt nicht für Zwecke der Zuschlagsteuern.</w:t>
      </w:r>
    </w:p>
    <w:p>
      <w:r>
        <w:t xml:space="preserve">(2) Die strafbefreiende Erklärung steht einer Steuerfestsetzung ohne Vorbehalt der Nachprüfung gleich. Sie lässt Festsetzungen der in § 8 genannten Steueransprüche unberührt, soweit diese nicht auf Grund der strafbefreienden Erklärung erloschen sind.</w:t>
      </w:r>
    </w:p>
    <w:p>
      <w:r>
        <w:t xml:space="preserve">(3) Soweit nach diesem Gesetz keine Straf- oder Bußgeldfreiheit eintritt, ist die mit Abgabe der strafbefreienden Erklärung bewirkte Steuerfestsetzung aufzuheben oder zu ändern. Dies gilt nicht, soweit die strafbefreiende Erklärung Taten im Sinne des § 1 Abs. 1 oder Handlungen im Sinne des § 6 umfasst, die aus anderen Gründen nicht mehr geahndet werden können.</w:t>
      </w:r>
    </w:p>
    <w:p>
      <w:r>
        <w:t xml:space="preserve">(4) Die §§ 156, 163, 222, 227, 240 und 361 der Abgabenordnung und § 69 der Finanzgerichtsordnung sind nicht anzuwenden.</w:t>
      </w:r>
    </w:p>
    <w:p>
      <w:r>
        <w:rPr>
          <w:color w:val="555555"/>
          <w:sz w:val="17"/>
        </w:rPr>
        <w:t xml:space="preserve">Zitiervorschlag: § 10 StraBEG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