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StrZusGubenAbkPOLG</w:t>
      </w:r>
    </w:p>
    <w:p>
      <w:r>
        <w:rPr>
          <w:color w:val="555555"/>
          <w:sz w:val="18"/>
        </w:rPr>
        <w:t xml:space="preserve">Gesetz zu dem Abkommen vom 20. März 1995 zwischen der Bundesrepublik Deutschland und der Republik Polen über den Zusammenschluß der deutschen Bundesstraße B 97 und der polnischen Landesstraße 274 sowie über den Bau einer Grenzbrücke im Raum Guben und Gubinek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15 Abs. 2 sowie das Protokoll in Kraft treten, ist im Bundesgesetzblatt bekanntzugeben.</w:t>
      </w:r>
    </w:p>
    <w:p>
      <w:r>
        <w:rPr>
          <w:color w:val="555555"/>
          <w:sz w:val="17"/>
        </w:rPr>
        <w:t xml:space="preserve">Zitiervorschlag: Art 3 StrZusGubenAbkPOLG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https://recht.nulegal.eu/gesetze/StrZusGubenAbkPOLG/3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