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StrZuVO (Sachsen) — In-Kraft-Treten und Außer-Kraft-Treten</w:t>
      </w:r>
    </w:p>
    <w:p>
      <w:r>
        <w:rPr>
          <w:color w:val="555555"/>
          <w:sz w:val="18"/>
        </w:rPr>
        <w:t xml:space="preserve">Verordnung der Sächsischen Staatsregierung und des Sächsischen Staatsministeriums für Wirtschaft, Arbeit und Verkehr über Zuständigkeiten nach dem Bundesfernstraßengesetz und dem Sächsischen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Wirkung vom 1. Januar 2006 in Kraft, mit Ausnahme des § 3 Nr. 3 Buchst. a, der am Tage nach der Veröffentlichung der Verordnung in Kraft tritt. Gleichzeitig treten außer Kraft</w:t>
      </w:r>
    </w:p>
    <w:p>
      <w:r>
        <w:t xml:space="preserve">1. die Verordnung der Sächsischen Staatsregierung über Zuständigkeiten nach dem Bundesfernstraßengesetz (FStrGZuVO) vom 15. Dezember 1992 (SächsGVBl. 1993 S. 3), geändert durch Verordnung vom 6. September 1994 (SächsGVBl. S. 1561) und</w:t>
      </w:r>
    </w:p>
    <w:p>
      <w:r>
        <w:t xml:space="preserve">2. die Verordnung des Sächsischen Staatsministeriums für Wirtschaft und Arbeit über Zuständigkeiten nach dem Bundesfernstraßengesetz und dem Sächsischen Straßengesetz vom 5. August 1999 (SächsGVBl. S. 481), zuletzt geändert durch Artikel 2 der Verordnung vom 30. August 2001 (SächsGVBl. S. 659, 661), mit Ausnahme des § 3 Nr. 3 Buchst. a, der mit Ablauf des Tages der Veröffentlichung der Verordnung außer Kraft tritt.</w:t>
      </w:r>
    </w:p>
    <w:p>
      <w:r>
        <w:t xml:space="preserve">(2) § 4 tritt am 1. Januar 2012 außer Kraft.</w:t>
      </w:r>
    </w:p>
    <w:p>
      <w:r>
        <w:t xml:space="preserve">Dresden, den 2. Juni 2006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Thomas Jurk</w:t>
      </w:r>
    </w:p>
    <w:p>
      <w:r>
        <w:rPr>
          <w:color w:val="555555"/>
          <w:sz w:val="17"/>
        </w:rPr>
        <w:t xml:space="preserve">Zitiervorschlag: § 5 StrZuVO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