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StrZuVO (Sachsen) — Übertragung von Ermächtigungen</w:t>
      </w:r>
    </w:p>
    <w:p>
      <w:r>
        <w:rPr>
          <w:color w:val="555555"/>
          <w:sz w:val="18"/>
        </w:rPr>
        <w:t xml:space="preserve">Verordnung der Sächsischen Staatsregierung und des Sächsischen Staatsministeriums für Wirtschaft, Arbeit und Verkehr über Zuständigkeiten nach dem Bundesfernstraßengesetz und dem Sächsischen Straßengesetz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Ermächtigungen zum Erlass von Rechtsverordnungen nach § 9a Abs. 3 Satz 1 und 5 FStrG werden auf die Landesdirektion Sachsen übertragen.</w:t>
      </w:r>
    </w:p>
    <w:p>
      <w:r>
        <w:rPr>
          <w:color w:val="555555"/>
          <w:sz w:val="17"/>
        </w:rPr>
        <w:t xml:space="preserve">Zitiervorschlag: § 2 StrZuVO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https://recht.nulegal.eu/gesetze/StrZuVO/2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