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StrZuVO (Sachsen) — Zuständigkeiten nach dem Bundesfernstraßengesetz</w:t>
      </w:r>
    </w:p>
    <w:p>
      <w:r>
        <w:rPr>
          <w:color w:val="555555"/>
          <w:sz w:val="18"/>
        </w:rPr>
        <w:t xml:space="preserve">Verordnung der Sächsischen Staatsregierung und des Sächsischen Staatsministeriums für Wirtschaft, Arbeit und Verkehr über Zuständigkeiten nach dem Bundesfernstraßengesetz und dem Sächsischen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Zuständigkeiten der obersten Landesstraßenbaubehörde nach dem Bundesfernstraßengesetz sowie die Zuständigkeit der höheren Verwaltungsbehörde gemäß § 5 Abs. 4 Satz 4 FStrG werden auf das Landesamt für Straßenbau und Verkehr übertragen, soweit nachfolgend nichts anderes bestimmt ist.</w:t>
      </w:r>
    </w:p>
    <w:p>
      <w:r>
        <w:t xml:space="preserve">(2) Die Zuständigkeiten der obersten Landesstraßenbaubehörde nach § 2 Abs. 6 Satz 3 und § 5 Abs. 2a Satz 1 und 2 FStrG verbleiben abweichend von Absatz 1 beim Staatsministerium für Wirtschaft, Arbeit und Verkehr. Die Entscheidung nach § 2 Abs. 6 Satz 2 FStrG ergeht im Einvernehmen mit dem Staatsministerium für Wirtschaft, Arbeit und Verkehr.</w:t>
      </w:r>
    </w:p>
    <w:p>
      <w:r>
        <w:t xml:space="preserve">(3) Die Zuständigkeit der obersten Straßenbaubehörde für Ausnahmen von der Veränderungssperre gemäß § 9a Abs. 5 FStrG wird auf die Landesdirektion Sachsen übertragen.</w:t>
      </w:r>
    </w:p>
    <w:p>
      <w:r>
        <w:rPr>
          <w:color w:val="555555"/>
          <w:sz w:val="17"/>
        </w:rPr>
        <w:t xml:space="preserve">Zitiervorschlag: § 1 StrZuVO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