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StrWPrO (Nordrhein-Westfalen) — Durchführung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Zwischenprüfung ist nach § 8 der Verordnung über die Berufsausbildung zum Straßenwärter/zur Straßenwärterin durchzuführen.</w:t>
      </w:r>
    </w:p>
    <w:p>
      <w:r>
        <w:t xml:space="preserve">(2) Die §§ 15 (Nichtöffentlichkeit), 16 (Leitung und Aufsicht), 17 (Ausweispflicht und Belehrung), 18 (Täuschungshandlungen und Ordnungsverstöße) und 19 (Rücktritt, Nichtteilnahme) sowie § 20 (Bewertung) dieser Prüfungsordnung gelten entsprechend.</w:t>
      </w:r>
    </w:p>
    <w:p>
      <w:r>
        <w:rPr>
          <w:color w:val="555555"/>
          <w:sz w:val="17"/>
        </w:rPr>
        <w:t xml:space="preserve">Zitiervorschlag: § 27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