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StrWPrO (Nordrhein-Westfalen) — Inhalt und Umfang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entscheidet auf der Grundlage des § 8 der Verordnung über die Berufsausbildung zum Straßenwärter/zur Straßenwärterin über Inhalt und Umfang der Zwischenprüfung.</w:t>
      </w:r>
    </w:p>
    <w:p>
      <w:r>
        <w:t xml:space="preserve">(2) § 14 (Prüfungsaufgaben) dieser Prüfungsordnung gilt entsprechend.</w:t>
      </w:r>
    </w:p>
    <w:p>
      <w:r>
        <w:rPr>
          <w:color w:val="555555"/>
          <w:sz w:val="17"/>
        </w:rPr>
        <w:t xml:space="preserve">Zitiervorschlag: § 26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