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StrWPrO (Nordrhein-Westfalen) — Prüfungsgegenstand</w:t>
      </w:r>
    </w:p>
    <w:p>
      <w:r>
        <w:rPr>
          <w:color w:val="555555"/>
          <w:sz w:val="18"/>
        </w:rPr>
        <w:t xml:space="preserve">Straßenwärterprüfungsordnung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Durch die Abschlussprüfung ist festzustellen, ob der Prüfling die berufliche Handlungsfähigkeit erworben hat. In ihr soll der Prüfling nachweisen, dass er die erforderlichen beruflichen Fertigkeiten beherrscht, die notwendigen beruflichen Kenntnisse und Fähigkeiten besitzt und mit dem im Berufsschulunterricht zu vermittelnden, für die Berufsausbildung wesentlichen Lehrstoff vertraut ist (§ 38 des Berufsbildungsgesetzes).</w:t>
      </w:r>
    </w:p>
    <w:p>
      <w:r>
        <w:t xml:space="preserve">(2) Die Prüfungssprache ist Deutsch. Die Verordnung über die Berufsausbildung zum Straßenwärter/zur Straßenwärterin ist zugrunde zu legen.</w:t>
      </w:r>
    </w:p>
    <w:p>
      <w:r>
        <w:rPr>
          <w:color w:val="555555"/>
          <w:sz w:val="17"/>
        </w:rPr>
        <w:t xml:space="preserve">Zitiervorschlag: § 12 StrWPrO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https://recht.nulegal.eu/gesetze/StrWPrO/12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