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StrWMPrüfungsR (Nordrhein-Westfalen) — Meistertitel</w:t>
      </w:r>
    </w:p>
    <w:p>
      <w:r>
        <w:rPr>
          <w:color w:val="555555"/>
          <w:sz w:val="18"/>
        </w:rPr>
        <w:t xml:space="preserve">Straßenwärter-Meisterprüfungsregelung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Den Titel „Straßenwärtermeister/Straßenwärtermeisterin – Bachelor Professional in der Straßenunterhaltung“ darf, auch in Bezeichnungen, die auf die Tätigkeit als solche hinweisen, nur führen, wer für den Ausbildungsberuf „Straßenwärter/Straßenwärterin“ die Meisterprüfung bestanden hat.</w:t>
      </w:r>
    </w:p>
    <w:p>
      <w:r>
        <w:t xml:space="preserve">Kapitel 12</w:t>
      </w:r>
    </w:p>
    <w:p>
      <w:r>
        <w:t xml:space="preserve">Schlussbestimmungen</w:t>
      </w:r>
    </w:p>
    <w:p>
      <w:r>
        <w:rPr>
          <w:color w:val="555555"/>
          <w:sz w:val="17"/>
        </w:rPr>
        <w:t xml:space="preserve">Zitiervorschlag: § 35 StrWMPrüfungsR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https://recht.nulegal.eu/gesetze/StrWMPr%C3%BCfungsR/35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