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StrWMPrüfungsR (Nordrhein-Westfalen) — Befreiung von gleichartigen Prüfungsteilen</w:t>
      </w:r>
    </w:p>
    <w:p>
      <w:r>
        <w:rPr>
          <w:color w:val="555555"/>
          <w:sz w:val="18"/>
        </w:rPr>
        <w:t xml:space="preserve">Straßenwärter-Meisterprüfungsregelung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Prüfungsteile III und IV aus anderen Meisterprüfungen werden anerkannt. In anderen Fällen gilt § 5.</w:t>
      </w:r>
    </w:p>
    <w:p>
      <w:r>
        <w:t xml:space="preserve">Kapitel 11</w:t>
      </w:r>
    </w:p>
    <w:p>
      <w:r>
        <w:t xml:space="preserve">Feststellung des Bestehens der Teile I bis IV der Meisterprüfung</w:t>
      </w:r>
    </w:p>
    <w:p>
      <w:r>
        <w:rPr>
          <w:color w:val="555555"/>
          <w:sz w:val="17"/>
        </w:rPr>
        <w:t xml:space="preserve">Zitiervorschlag: § 33 StrWMPrüfungsR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https://recht.nulegal.eu/gesetze/StrWMPr%C3%BCfungsR/33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