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StrWMPrüfungsR (Nordrhein-Westfalen) — Koordinierender Prüfungsausschuss, Unterausschüsse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dieser Fortbildungsprüfungsregelung getroffenen Regelungen gelten sinngemäß für den unter § 6 Absatz 4 genannten Koordinierungsausschuss sowie eventuelle Unterausschüsse des Prüfungsausschusses beziehungsweise des Koordinierungsausschusses.</w:t>
      </w:r>
    </w:p>
    <w:p>
      <w:r>
        <w:t xml:space="preserve">Kapitel 10</w:t>
      </w:r>
    </w:p>
    <w:p>
      <w:r>
        <w:t xml:space="preserve">Anerkennung und Anrechnung von Abschlüssen aus</w:t>
      </w:r>
    </w:p>
    <w:p>
      <w:r>
        <w:t xml:space="preserve">anderen Meisterberufen in den Teilen III und IV</w:t>
      </w:r>
    </w:p>
    <w:p>
      <w:r>
        <w:rPr>
          <w:color w:val="555555"/>
          <w:sz w:val="17"/>
        </w:rPr>
        <w:t xml:space="preserve">Zitiervorschlag: § 32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