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StrWMPrüfungsR (Nordrhein-Westfalen) — Geschäftsordnung des Berufsbildungsausschusses</w:t>
      </w:r>
    </w:p>
    <w:p>
      <w:r>
        <w:rPr>
          <w:color w:val="555555"/>
          <w:sz w:val="18"/>
        </w:rPr>
        <w:t xml:space="preserve">Straßenwärter-Meisterprüfungsregelung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Geschäftsordnung für den Berufsbildungsausschuss des Landesbetriebes Straßenbau Nordrhein-Westfalen als zuständiger Stelle für den Ausbildungsberuf „Straßenwärter/Straßenwärterin“ gilt für den Prüfungsausschuss entsprechend. Sie ist auch auf den unter § 6 Absatz 4 genannten Koordinierungsausschuss sowie eventuelle Unterausschüsse des Prüfungsausschusses beziehungsweise des Koordinierungsausschusses anzuwenden.</w:t>
      </w:r>
    </w:p>
    <w:p>
      <w:r>
        <w:rPr>
          <w:color w:val="555555"/>
          <w:sz w:val="17"/>
        </w:rPr>
        <w:t xml:space="preserve">Zitiervorschlag: § 31 StrWMPrüfungsR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https://recht.nulegal.eu/gesetze/StrWMPr%C3%BCfungsR/31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