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StrWMPrüfungsR (Nordrhein-Westfalen) — Prüfungsunterlagen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schriftlichen oder elektronischen Antrag ist dem Prüfling innerhalb der Widerspruchsfrist von einem Monat Einsicht in seine Prüfungsunterlagen zu gewähren.</w:t>
      </w:r>
    </w:p>
    <w:p>
      <w:r>
        <w:t xml:space="preserve">(2) Die schriftlichen Prüfungsarbeiten und die Anmeldungen sind drei Jahre, die Niederschriften gemäß § 23 Absatz 4 zehn Jahre aufzubewahren. Der Ablauf der vorgenannten Fristen wird durch das Einlegen eines Rechtsmittels gehemmt.</w:t>
      </w:r>
    </w:p>
    <w:p>
      <w:r>
        <w:t xml:space="preserve">(3) Eine Herausgabe von Prüfungsunterlagen und/oder Prüfungsaufgaben zu Übungs- oder Anschauungszwecken bedarf der vorherigen Zustimmung des Prüfungsausschusses. Bei mehreren Prüfungsausschüssen obliegt diese Aufgabe dem Koordinierungsausschuss.</w:t>
      </w:r>
    </w:p>
    <w:p>
      <w:r>
        <w:rPr>
          <w:color w:val="555555"/>
          <w:sz w:val="17"/>
        </w:rPr>
        <w:t xml:space="preserve">Zitiervorschlag: § 29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