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StrWMPrüfungsR (Nordrhein-Westfalen) — Rechtsmittel</w:t>
      </w:r>
    </w:p>
    <w:p>
      <w:r>
        <w:rPr>
          <w:color w:val="555555"/>
          <w:sz w:val="18"/>
        </w:rPr>
        <w:t xml:space="preserve">Straßenwärter-Meisterprüfungsregelung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Maßnahmen und Entscheidungen des Prüfungsausschusses sowie der zuständigen Stelle sind bei ihrer schriftlichen Bekanntgabe an den Prüfungsbewerber oder die Prüfungsbewerberin beziehungsweise an den Prüfling mit einer Rechtsbehelfsbelehrung zu versehen. Diese richtet sich im Einzelnen nach der Verwaltungsgerichtsordnung und den Ausführungsbestimmungen des Landes Nordrhein-Westfalen.</w:t>
      </w:r>
    </w:p>
    <w:p>
      <w:r>
        <w:rPr>
          <w:color w:val="555555"/>
          <w:sz w:val="17"/>
        </w:rPr>
        <w:t xml:space="preserve">Zitiervorschlag: § 28 StrWMPrüfungsR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https://recht.nulegal.eu/gesetze/StrWMPr%C3%BCfungsR/28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