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StrWMPrüfungsR (Nordrhein-Westfalen) — Nichtöffentlichkeit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Prüfungen sind nicht öffentlich. Vertreter und Vertreterinnen der zuständigen Stelle können anwesend sein.</w:t>
      </w:r>
    </w:p>
    <w:p>
      <w:r>
        <w:t xml:space="preserve">(2) Der Prüfungsausschuss kann Gäste zulassen. Diese Gäste müssen ein berechtigtes Interesse an der Prüfungsteilnahme nachweisen.</w:t>
      </w:r>
    </w:p>
    <w:p>
      <w:r>
        <w:t xml:space="preserve">(3) Bei der Beratung über das Prüfungsergebnis dürfen die zugelassenen Gäste nicht anwesend sein.</w:t>
      </w:r>
    </w:p>
    <w:p>
      <w:r>
        <w:rPr>
          <w:color w:val="555555"/>
          <w:sz w:val="17"/>
        </w:rPr>
        <w:t xml:space="preserve">Zitiervorschlag: § 17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