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StrWMPrüfungsR (Nordrhein-Westfalen) — Gliederung und Inhalt der Meisterprüfung</w:t>
      </w:r>
    </w:p>
    <w:p>
      <w:r>
        <w:rPr>
          <w:color w:val="555555"/>
          <w:sz w:val="18"/>
        </w:rPr>
        <w:t xml:space="preserve">Straßenwärter-Meisterprüfungsregelung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Meisterprüfung umfasst folgende Teile:</w:t>
      </w:r>
    </w:p>
    <w:p>
      <w:r>
        <w:t xml:space="preserve">1. die meisterhafte Verrichtung der wesentlichen Tätigkeiten im fachpraktischen Teil (Teil I) bestehend aus der Meisterprüfungsarbeit (Teil I a) sowie der Arbeitsprobe (Teil I b),</w:t>
      </w:r>
    </w:p>
    <w:p>
      <w:r>
        <w:t xml:space="preserve">2. einen fachtheoretischen Teil (Teil II) bestehend aus den Bereichen „Straßeninstandhaltung“ sowie „Sicherheit und Straßenbetrieb“,</w:t>
      </w:r>
    </w:p>
    <w:p>
      <w:r>
        <w:t xml:space="preserve">3. einen betriebswirtschaftlichen, kaufmännischen und rechtlichen Teil (Teil III) und</w:t>
      </w:r>
    </w:p>
    <w:p>
      <w:r>
        <w:t xml:space="preserve">4. einen berufs- und arbeitspädagogischen Teil (Teil IV).</w:t>
      </w:r>
    </w:p>
    <w:p>
      <w:r>
        <w:t xml:space="preserve">(2) Diese Fortbildungsprüfungsregelung regelt den Inhalt, den Ablauf und die Zuständigkeiten für die Durchführung der Teile I bis II und nach Vorliegen der Teile III und IV die Feststellung des Bestehens oder Nichtbestehens der Meisterprüfung sowie die Ausstellung des Meisterprüfungszeugnisses und des Meisterbriefes.</w:t>
      </w:r>
    </w:p>
    <w:p>
      <w:r>
        <w:t xml:space="preserve">Kapitel 2</w:t>
      </w:r>
    </w:p>
    <w:p>
      <w:r>
        <w:t xml:space="preserve">Meisterprüfung in den Teilen I und II</w:t>
      </w:r>
    </w:p>
    <w:p>
      <w:r>
        <w:rPr>
          <w:color w:val="555555"/>
          <w:sz w:val="17"/>
        </w:rPr>
        <w:t xml:space="preserve">Zitiervorschlag: § 1 StrWMPrüfungsR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https://recht.nulegal.eu/gesetze/StrWMPr%C3%BCfungsR/1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