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StrVwGebO (Brandenburg)</w:t>
      </w:r>
    </w:p>
    <w:p>
      <w:r>
        <w:rPr>
          <w:color w:val="555555"/>
          <w:sz w:val="18"/>
        </w:rPr>
        <w:t xml:space="preserve">Verordnung über die Verwaltungsgebühren für Amtshandlungen der Straßenbaubehörden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nicht im Gebührenverzeichnis aufgeführte Amtshandlungen wird eine Gebühr nach dem Zeitaufwand für die Amtshandlung erhoben. In diesen Fällen berechnet sich die Gebühr für jede angefangene Stunde der Amtshandlung für Beamte und Angestellte in vergleichbaren Vergütungsgruppen</w:t>
      </w:r>
    </w:p>
    <w:p>
      <w:r>
        <w:t xml:space="preserve">des höheren Dienstes mit</w:t>
      </w:r>
    </w:p>
    <w:p>
      <w:r>
        <w:t xml:space="preserve">81,00 Euro</w:t>
      </w:r>
    </w:p>
    <w:p>
      <w:r>
        <w:t xml:space="preserve">des gehobenen Dienstes mit</w:t>
      </w:r>
    </w:p>
    <w:p>
      <w:r>
        <w:t xml:space="preserve">64,00 Euro</w:t>
      </w:r>
    </w:p>
    <w:p>
      <w:r>
        <w:t xml:space="preserve">des mittleren Dienstes mit</w:t>
      </w:r>
    </w:p>
    <w:p>
      <w:r>
        <w:t xml:space="preserve">51,00 Euro</w:t>
      </w:r>
    </w:p>
    <w:p>
      <w:r>
        <w:t xml:space="preserve">des einfachen Dienstes mit</w:t>
      </w:r>
    </w:p>
    <w:p>
      <w:r>
        <w:t xml:space="preserve">40,00 Euro.</w:t>
      </w:r>
    </w:p>
    <w:p>
      <w:r>
        <w:t xml:space="preserve">(2) Bei der Berechnung der Gebühr nach dem Zeitaufwand ist die Zeit anzusetzen, die unter regelmäßigen Verhältnissen von einer entsprechend ausgebildeten Fachkraft benötigt wird. Die Zeit für die An- und Abreise ist als Arbeitszeit zu berechnen.</w:t>
      </w:r>
    </w:p>
    <w:p>
      <w:r>
        <w:rPr>
          <w:color w:val="555555"/>
          <w:sz w:val="17"/>
        </w:rPr>
        <w:t xml:space="preserve">Zitiervorschlag: § 2 StrVwGebO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https://recht.nulegal.eu/gesetze/StrVwGebO/2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