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StrVwGebO (Brandenburg)</w:t>
      </w:r>
    </w:p>
    <w:p>
      <w:r>
        <w:rPr>
          <w:color w:val="555555"/>
          <w:sz w:val="18"/>
        </w:rPr>
        <w:t xml:space="preserve">Verordnung über die Verwaltungsgebühren für Amtshandlungen der Straßenbaubehörden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Amtshandlungen der Straßenbaubehörden nach dem Bundesfernstraßengesetz, dem Brandenburgischen Straßengesetz oder dem Telekommunikationsgesetz werden Verwaltungsgebühren nach Maßgabe dieser Verordnung und des anliegenden Gebührentarifs erhoben. Der Gebührentarif ist Teil dieser Verordnung.</w:t>
      </w:r>
    </w:p>
    <w:p>
      <w:r>
        <w:rPr>
          <w:color w:val="555555"/>
          <w:sz w:val="17"/>
        </w:rPr>
        <w:t xml:space="preserve">Zitiervorschlag: § 1 StrVwGebO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https://recht.nulegal.eu/gesetze/StrVwGebO/1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