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StrVerzV (Brandenburg)</w:t>
      </w:r>
    </w:p>
    <w:p>
      <w:r>
        <w:rPr>
          <w:color w:val="555555"/>
          <w:sz w:val="18"/>
        </w:rPr>
        <w:t xml:space="preserve">Straßenverzeichnisverordnung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jeden Straßenzug wird ein Karteiblatt angelegt. Als Karteiblätter dürfen auch listenmäßige Maschinenausdrucke der Datenverarbeitung oder ähnliche Unterlagen Verwendung finden.</w:t>
      </w:r>
    </w:p>
    <w:p>
      <w:r>
        <w:t xml:space="preserve">(2) Das Karteiblatt ist mit der Schlüsselnummer und dem Namen des Straßenzugs oder der Straße zu kennzeichnen, es kann aus mehreren fortlaufend numerierten Einzelblättern bestehen.</w:t>
      </w:r>
    </w:p>
    <w:p>
      <w:r>
        <w:rPr>
          <w:color w:val="555555"/>
          <w:sz w:val="17"/>
        </w:rPr>
        <w:t xml:space="preserve">Zitiervorschlag: § 4 StrVerzV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https://recht.nulegal.eu/gesetze/StrVerzV/4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