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StrVerkSiV — Erteilung der Erlaubnis für Fahrten mit Nutzfahrzeugen</w:t>
      </w:r>
    </w:p>
    <w:p>
      <w:r>
        <w:rPr>
          <w:color w:val="555555"/>
          <w:sz w:val="18"/>
        </w:rPr>
        <w:t xml:space="preserve">Verordnung zur Sicherstellung des Straßenverkehrs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nach § 6 Abs. 1 wird erteilt, wenn lebenswichtige Interessen nicht entgegenstehen.</w:t>
      </w:r>
    </w:p>
    <w:p>
      <w:r>
        <w:t xml:space="preserve">(2) Über die Erlaubnis wird eine Bescheinigung nach Anlage 2 ausgestellt. Die Bescheinigung ist bei Fahrten mitzuführen und zuständigen Personen auf Verlangen zur Prüfung auszuhändigen.</w:t>
      </w:r>
    </w:p>
    <w:p>
      <w:r>
        <w:t xml:space="preserve">(3) Die Erlaubnis kann allgemein oder für den Einzelfall erteilt werden. Sie kann befristet oder mit dem Vorbehalt des Widerrufs erteilt sowie mit Auflagen verbunden werden.</w:t>
      </w:r>
    </w:p>
    <w:p>
      <w:r>
        <w:t xml:space="preserve">(4) Die Erlaubnis für eine einzelne Fahrt kann auch fernmündlich erteilt werden. In diesem Fall hat der Fahrzeughalter oder sein Beauftragter als Nachweis die Bescheinigung nach Anlage 2 selbst auszustellen. Absatz 2 Satz 2 gilt entsprechend.</w:t>
      </w:r>
    </w:p>
    <w:p>
      <w:r>
        <w:t xml:space="preserve">(5) Zuständig für die Erteilung der Erlaubnis ist die untere Verkehrsbehörde, die die Anordnung nach § 6 Abs. 1 erlassen hat.</w:t>
      </w:r>
    </w:p>
    <w:p>
      <w:r>
        <w:rPr>
          <w:color w:val="555555"/>
          <w:sz w:val="17"/>
        </w:rPr>
        <w:t xml:space="preserve">Zitiervorschlag: § 7 StrVerkSiV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https://recht.nulegal.eu/gesetze/StrVerkSiV/7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