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StrVerkSiV — Erteilung der Erlaubnis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nach § 3 wird erteilt, wenn die Benutzung regelmäßig verkehrender öffentlicher Verkehrsmittel zur Erreichung des Fahrtziels oder des Fahrtzwecks nicht möglich oder nicht zumutbar ist und lebenswichtige Interessen nicht entgegenstehen.</w:t>
      </w:r>
    </w:p>
    <w:p>
      <w:r>
        <w:t xml:space="preserve">(2) Über die Erlaubnis wird eine Bescheinigung nach Anlage 1 ausgestellt. Bei Personenkraftwagen ist sie an der Windschutzscheibe deutlich sichtbar anzubringen. Bei Fahrten mit Krafträdern ist die Bescheinigung mitzuführen und zuständigen Personen auf Verlangen zur Prüfung auszuhändigen.</w:t>
      </w:r>
    </w:p>
    <w:p>
      <w:r>
        <w:t xml:space="preserve">(3) Die Erlaubnis kann allgemein oder für den Einzelfall erteilt werden. Sie kann befristet oder mit dem Vorbehalt des Widerrufs erteilt sowie mit Auflagen verbunden werden.</w:t>
      </w:r>
    </w:p>
    <w:p>
      <w:r>
        <w:t xml:space="preserve">(4) Zuständig für die Erteilung der Erlaubnis ist die untere Straßenverkehrsbehörde des Bezirks, in dem das Fahrzeug zugelassen ist. In dringenden Fällen, insbesondere wenn die Erlaubnis von der in Satz 1 genannten Behörde nicht oder nicht rechtzeitig erteilt werden kann, ist auch die untere Straßenverkehrsbehörde des Aufenthaltsortes zuständig.</w:t>
      </w:r>
    </w:p>
    <w:p>
      <w:r>
        <w:rPr>
          <w:color w:val="555555"/>
          <w:sz w:val="17"/>
        </w:rPr>
        <w:t xml:space="preserve">Zitiervorschlag: § 5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