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StrVerkSiV — Erlaubnispflicht</w:t>
      </w:r>
    </w:p>
    <w:p>
      <w:r>
        <w:rPr>
          <w:color w:val="555555"/>
          <w:sz w:val="18"/>
        </w:rPr>
        <w:t xml:space="preserve">Verordnung zur Sicherstellung des Straßenverkehrs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Fahrten mit Personenkraftwagen und Krafträdern bedürfen der Erlaubnis, soweit § 4 nichts anderes bestimmt.</w:t>
      </w:r>
    </w:p>
    <w:p>
      <w:r>
        <w:rPr>
          <w:color w:val="555555"/>
          <w:sz w:val="17"/>
        </w:rPr>
        <w:t xml:space="preserve">Zitiervorschlag: § 3 StrVerkSiV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https://recht.nulegal.eu/gesetze/StrVerkSiV/3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