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StrVerkSiV — Zuständigkeiten</w:t>
      </w:r>
    </w:p>
    <w:p>
      <w:r>
        <w:rPr>
          <w:color w:val="555555"/>
          <w:sz w:val="18"/>
        </w:rPr>
        <w:t xml:space="preserve">Verordnung zur Sicherstellung des Straßenverkehrs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Ländern, in denen höhere Verkehrsbehörden oder höhere Verwaltungsbehörden nicht bestehen, tritt an deren Stelle die oberste Verkehrsbehörde.</w:t>
      </w:r>
    </w:p>
    <w:p>
      <w:r>
        <w:t xml:space="preserve">(2) Die Länder können bestimmen, daß die Zuständigkeiten</w:t>
      </w:r>
    </w:p>
    <w:p>
      <w:pPr>
        <w:ind w:left="420"/>
      </w:pPr>
      <w:r>
        <w:t xml:space="preserve">1. der unteren Verkehrsbehörden nach § 5 Abs. 4 und § 7 Abs. 5 ganz oder teilweise von den Behörden der kreisangehörigen Gemeinden oder Gemeindeverbände,</w:t>
      </w:r>
    </w:p>
    <w:p>
      <w:pPr>
        <w:ind w:left="420"/>
      </w:pPr>
      <w:r>
        <w:t xml:space="preserve">2. der höheren Verkehrsbehörden nach § 8 Abs. 1, 2 und 4 ganz oder teilweise von den unteren Verkehrsbehörden</w:t>
      </w:r>
    </w:p>
    <w:p>
      <w:r>
        <w:t xml:space="preserve">wahrgenommen werden.</w:t>
      </w:r>
    </w:p>
    <w:p>
      <w:r>
        <w:rPr>
          <w:color w:val="555555"/>
          <w:sz w:val="17"/>
        </w:rPr>
        <w:t xml:space="preserve">Zitiervorschlag: § 10 StrVerkSiV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https://recht.nulegal.eu/gesetze/StrVerkSiV/10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