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StrVerjFrG — Inkrafttreten</w:t>
      </w:r>
    </w:p>
    <w:p>
      <w:r>
        <w:rPr>
          <w:color w:val="555555"/>
          <w:sz w:val="18"/>
        </w:rPr>
        <w:t xml:space="preserve">Gesetz über die Berechnung strafrechtlicher Verjährungsfristen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4 StrVerjFrG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https://recht.nulegal.eu/gesetze/StrVerjFrG/4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