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StrVerjFrG — Ruhen der Verfolgungsverjährung</w:t>
      </w:r>
    </w:p>
    <w:p>
      <w:r>
        <w:rPr>
          <w:color w:val="555555"/>
          <w:sz w:val="18"/>
        </w:rPr>
        <w:t xml:space="preserve">Gesetz über die Berechnung strafrechtlicher Verjährungsfristen</w:t>
      </w:r>
    </w:p>
    <w:p>
      <w:r>
        <w:rPr>
          <w:color w:val="555555"/>
          <w:sz w:val="18"/>
        </w:rPr>
        <w:t xml:space="preserve">Stand: 10.06.2019 (konsolidierte Textfassung, kein amtliches Inkrafttretensdatum)</w:t>
      </w:r>
    </w:p>
    <w:p>
      <w:r>
        <w:t xml:space="preserve">(1) Bei der Berechnung der Verjährungsfrist für die Verfolgung von Verbrechen, die mit lebenslanger Freiheitsstrafe bedroht sind, bleibt die Zeit vom 8. Mai 1945 bis zum 31. Dezember 1949 außer Ansatz. In dieser Zeit hat die Verjährung der Verfolgung dieser Verbrechen geruht.</w:t>
      </w:r>
    </w:p>
    <w:p>
      <w:r>
        <w:t xml:space="preserve">(2) Absatz 1 gilt nicht für Taten, deren Verfolgung beim Inkrafttreten dieses Gesetzes bereits verjährt ist.</w:t>
      </w:r>
    </w:p>
    <w:p>
      <w:r>
        <w:rPr>
          <w:color w:val="555555"/>
          <w:sz w:val="17"/>
        </w:rPr>
        <w:t xml:space="preserve">Zitiervorschlag: § 1 StrVerjFrG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https://recht.nulegal.eu/gesetze/StrVerjFrG/1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