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StrUG NRW (Nordrhein-Westfalen)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Für den Minister für Kinder, Familie, Flüchtlinge und Integration</w:t>
      </w:r>
    </w:p>
    <w:p>
      <w:r>
        <w:t xml:space="preserve">Die Ministerin für Schule und Bildung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t xml:space="preserve">Der Minister der Justiz</w:t>
      </w:r>
    </w:p>
    <w:p>
      <w:r>
        <w:t xml:space="preserve">Zugleich für die Ministerin für Heimat, Kommunales, Bau und Gleichstellung</w:t>
      </w:r>
    </w:p>
    <w:p>
      <w:r>
        <w:rPr>
          <w:color w:val="555555"/>
          <w:sz w:val="17"/>
        </w:rPr>
        <w:t xml:space="preserve">Zitiervorschlag: Schlussformel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