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StrUG NRW (Nordrhein-Westfalen) — Berichtspflicht</w:t>
      </w:r>
    </w:p>
    <w:p>
      <w:r>
        <w:rPr>
          <w:color w:val="555555"/>
          <w:sz w:val="18"/>
        </w:rPr>
        <w:t xml:space="preserve">Strafrechtsbezogenes Unterbringungsgesetz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 die Erfahrungen mit diesem Gesetz ist dem Landtag bis zum 31. Dezember 2022 und danach alle fünf Jahre zu berichten.</w:t>
      </w:r>
    </w:p>
    <w:p>
      <w:r>
        <w:rPr>
          <w:color w:val="555555"/>
          <w:sz w:val="17"/>
        </w:rPr>
        <w:t xml:space="preserve">Zitiervorschlag: § 64 StrUG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https://recht.nulegal.eu/gesetze/StrUG%20NRW/64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