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StrUG NRW (Nordrhein-Westfalen) — Inkrafttreten</w:t>
      </w:r>
    </w:p>
    <w:p>
      <w:r>
        <w:rPr>
          <w:color w:val="555555"/>
          <w:sz w:val="18"/>
        </w:rPr>
        <w:t xml:space="preserve">Strafrechtsbezogenes Unterbringungsgesetz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 nach der Verkündung in Kraft. Gleichzeitig tritt das Maßregelvollzugsgesetz nach Maßgabe des § 62 außer Kraft.</w:t>
      </w:r>
    </w:p>
    <w:p>
      <w:r>
        <w:rPr>
          <w:color w:val="555555"/>
          <w:sz w:val="17"/>
        </w:rPr>
        <w:t xml:space="preserve">Zitiervorschlag: § 63 StrUG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https://recht.nulegal.eu/gesetze/StrUG%20NRW/63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