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StrUG NRW (Nordrhein-Westfalen) — Durchführungsbestimmungen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die Durchführung strafrechtsbezogener Unterbringungen in einem psychiatrischen Krankenhaus und einer Entziehungsanstalt zuständige Ministerium wird ermächtigt, nach Anhörung des zuständigen Landtagsausschusses durch Rechtsverordnung Regelunge</w:t>
      </w:r>
    </w:p>
    <w:p>
      <w:r>
        <w:t xml:space="preserve">1. zur Festsetzung des Maßes der Freiheitsentziehung nach § 4,</w:t>
      </w:r>
    </w:p>
    <w:p>
      <w:r>
        <w:t xml:space="preserve">2. zur Unterrichtung der untergebrachten Person nach § 6 Absatz 1,</w:t>
      </w:r>
    </w:p>
    <w:p>
      <w:r>
        <w:t xml:space="preserve">3. zu Schriftwechsel, Telefongesprächen und sonstigen Formen der Kommunikation nach § 21,</w:t>
      </w:r>
    </w:p>
    <w:p>
      <w:r>
        <w:t xml:space="preserve">4. zu Besuchsregelungen nach § 22,</w:t>
      </w:r>
    </w:p>
    <w:p>
      <w:r>
        <w:t xml:space="preserve">5. zum Ausschluss von religiösen Veranstaltungen nach § 24 Absatz 2,</w:t>
      </w:r>
    </w:p>
    <w:p>
      <w:r>
        <w:t xml:space="preserve">6. zur Ansparung und Verwendung des Überbrückungsgeldes nach § 29,</w:t>
      </w:r>
    </w:p>
    <w:p>
      <w:r>
        <w:t xml:space="preserve">7. zu Durchsuchungen und Kontrollen nach § 30,</w:t>
      </w:r>
    </w:p>
    <w:p>
      <w:r>
        <w:t xml:space="preserve">8. zu Maßnahmen zur Feststellung von Suchtmittelkonsum nach § 31,</w:t>
      </w:r>
    </w:p>
    <w:p>
      <w:r>
        <w:t xml:space="preserve">9. zur Beschränkung des Aufenthaltsbereichs, Beobachtung und räumlichen Trennung nach § 32,</w:t>
      </w:r>
    </w:p>
    <w:p>
      <w:r>
        <w:t xml:space="preserve">10. zu Art und Umfang der Meldungen über Entweichungen nach § 34 Absatz 3,</w:t>
      </w:r>
    </w:p>
    <w:p>
      <w:r>
        <w:t xml:space="preserve">11. zu den Anforderungen an die Einrichtungsstandards nach § 47,</w:t>
      </w:r>
    </w:p>
    <w:p>
      <w:r>
        <w:t xml:space="preserve">12. zu den Anforderungen an die Qualität, Qualitätsentwicklung und Sicherheitsstandards nach § 48,</w:t>
      </w:r>
    </w:p>
    <w:p>
      <w:r>
        <w:t xml:space="preserve">13. zur Bestellung, zu den Aufgaben- und Einsatzbereichen einer Sicherheitsfachkraft nach § 48 Absatz 5 sowie zu Ausnahmen in Bezug auf den Umfang der personellen Besetzung einschließlich ihres Aufgaben- und Einsatzbereiches und</w:t>
      </w:r>
    </w:p>
    <w:p>
      <w:r>
        <w:t xml:space="preserve">14. im Benehmen mit dem für Datenschutz zuständigen Ministerium zu der Bestellung von Datenschutzbeauftragten</w:t>
      </w:r>
    </w:p>
    <w:p>
      <w:r>
        <w:t xml:space="preserve">zu treffen und die zuständigen Behörden zu bestimmen. Es erlässt die zur Ausführung dieses Gesetzes notwendigen Verwaltungsvorschriften.</w:t>
      </w:r>
    </w:p>
    <w:p>
      <w:r>
        <w:rPr>
          <w:color w:val="555555"/>
          <w:sz w:val="17"/>
        </w:rPr>
        <w:t xml:space="preserve">Zitiervorschlag: § 59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https://recht.nulegal.eu/gesetze/StrUG%20NRW/59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