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StrUG NRW (Nordrhein-Westfalen) — Zentrale Datei, Einrichtung automatisierter Übermittlungs- und Abrufverfahren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Maßgabe dieses Gesetzes erhobenen Daten können durch die zuständige Aufsichtsbehörde zum Zwecke der Aufsicht einschließlich statistischer Zwecke in einem automatisierten Verfahren verarbeitet werden, soweit dies erforderlich ist. Personenbezogene Daten besonderer Kategorien dürfen in einem automatisierten Verfahren nur verarbeitet werden, soweit dies unbedingt erforderlich ist.</w:t>
      </w:r>
    </w:p>
    <w:p>
      <w:r>
        <w:t xml:space="preserve">(2) Die unteren staatlichen Maßregelvollzugsbehörden einschließlich der Einrichtungen sind berechtigt und verpflichtet, der zuständigen Aufsichtsbehörde zu den in Absatz 1 genannten Zwecken die erforderlichen Daten elektronisch zur Verfügung zu stellen. Besondere Kategorien personenbezogener Daten dürfen nur übermittelt werden, soweit dies unbedingt erforderlich ist.</w:t>
      </w:r>
    </w:p>
    <w:p>
      <w:r>
        <w:t xml:space="preserve">(3) Das für die Durchführung der strafrechtsbezogenen Unterbringungen in einem psychiatrischen Krankenhaus und einer Entziehungsanstalt zuständige Ministerium bestimmt durch Rechtsverordnung die Einzelheiten der Einrichtung automatisierter Übermittlungs- und Abrufverfahren. Die empfangene Stelle, die Datenart und der Zweck des Abrufs sind festzulegen. Die Rechtsverordnung hat Maßnahmen zur Datensicherung und zur Kontrolle vorzusehen, die in einem angemessenen Verhältnis zu dem angestrebten Schutzzweck stehen. Die oder der Landesbeauftragte für Datenschutz und Informationsfreiheit ist frühzeitig zu unterrichten.</w:t>
      </w:r>
    </w:p>
    <w:p>
      <w:r>
        <w:t xml:space="preserve">(4) Der Empfänger trägt die Verantwortung für die Rechtmäßigkeit des Abrufs oder der Übermittlung im automatisierten Verfahren.</w:t>
      </w:r>
    </w:p>
    <w:p>
      <w:r>
        <w:rPr>
          <w:color w:val="555555"/>
          <w:sz w:val="17"/>
        </w:rPr>
        <w:t xml:space="preserve">Zitiervorschlag: § 41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