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StrUG NRW (Nordrhein-Westfalen) — Auskunft, Akteneinsicht der untergebrachten Person</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untergebrachte Person erhält Akteneinsicht, soweit sie nach § 49 des Datenschutzgesetzes Nordrhein-Westfalen zur Auskunft berechtigt ist, eine Auskunft für die Wahrnehmung ihrer rechtlichen Interessen nicht ausreicht, die Einsichtnahme hierfür erforderlich ist und berechtigte Interessen Dritter nicht entgegenstehen. Die Akteneinsicht kann eingeschränkt oder ausgeschlossen werden, wenn die Daten der betroffenen Person in Akten mit personenbezogenen Daten Dritter oder geheimhaltungsbedürftigen Daten derart verbunden sind, dass ihre Trennung nicht oder nur mit unverhältnismäßig großem Aufwand möglich ist.</w:t>
      </w:r>
    </w:p>
    <w:p>
      <w:r>
        <w:t xml:space="preserve">(2) Bei der Einsicht haben die betroffenen Personen das Recht, sich aus den Akten Notizen zu machen. Soll die Akteneinsicht durch eine beauftragte Rechtsanwältin, Notarin oder Verteidigerin oder einen beauftragten Rechtsanwalt, Notar oder Verteidiger wahrgenommen werden, kann die Akte an deren oder dessen Geschäftsräume versandt werden.</w:t>
      </w:r>
    </w:p>
    <w:p>
      <w:r>
        <w:t xml:space="preserve">(3) Für die untergebrachten Personen sind aus den über sie geführten Akten auf Antrag Ablichtungen einzelner Dokumente oder aus automatisierten Dateien Ausdrucke eines Teilbestands der Daten zu fertigen, soweit die Akten der Einsicht unterliegen und ein nachvollziehbarer Grund vorliegt. Ein solcher Grund ist insbesondere anzunehmen, wenn die untergebrachte Person zur Geltendmachung von Rechten gegenüber Gerichten und Behörden auf Ablichtungen oder Ausdrucke angewiesen ist. Ablichtungen und Ausdrucke aus der Gesundheitsakte werden kostenfrei zur Verfügung gestellt. Für sonstige Ablichtungen und Ausdrucke kann ein angemessener Kostenbeitrag erhoben werden. Satz 4 findet keine Anwendung, wenn die verantwortliche Stelle die Erteilung der Auskunft nach § 49 des Datenschutzgesetzes Nordrhein-Westfalen in Form von Ablichtungen und Ausdrucken vornimmt.</w:t>
      </w:r>
    </w:p>
    <w:p>
      <w:r>
        <w:rPr>
          <w:color w:val="555555"/>
          <w:sz w:val="17"/>
        </w:rPr>
        <w:t xml:space="preserve">Zitiervorschlag: § 39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