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StrUG NRW (Nordrhein-Westfalen) — Maßnahmen zur Feststellung von Suchtmittelkonsum</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Gewährleistung der Sicherheit oder der Ordnung in der Einrichtung oder zur Abwehr einer Gefahr für den Behandlungserfolg können allgemein oder im Einzelfall Maßnahmen angeordnet werden, die geeignet sind, den Konsum von Suchtmitteln festzustellen. Diese Maßnahmen dürfen nur mit einem geringfügigen körperlichen Eingriff verbunden sein.</w:t>
      </w:r>
    </w:p>
    <w:p>
      <w:r>
        <w:t xml:space="preserve">(2) Verweigert die untergebrachte Person die nach Absatz 1 angeordnete Kontrolle ohne hinreichenden Grund, gilt dieses Verhalten als unzulässiger Gebrauch von Suchtmitteln. Ein hinreichender Grund liegt zum Beispiel vor, wenn die untergebrachte Person bisher keine Suchtmittel konsumiert hat und es keine Anhaltspunkte für einen derartigen Konsum gibt.</w:t>
      </w:r>
    </w:p>
    <w:p>
      <w:r>
        <w:rPr>
          <w:color w:val="555555"/>
          <w:sz w:val="17"/>
        </w:rPr>
        <w:t xml:space="preserve">Zitiervorschlag: § 31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