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StrUG NRW (Nordrhein-Westfalen) — Ärztliche Zwangsmaßnahme zur Abwehr einer gegenwärtigen Gefahr</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gegenwärtiger Lebensgefahr sowie gegenwärtiger schwerwiegender Gefahr für die Gesundheit der untergebrachten Person oder anderer Personen ist eine ärztliche Zwangsmaßnahme gegen den natürlichen Willen der untergebrachten Person zulässig, wenn sie zur Einsicht in die Notwendigkeit der Maßnahme oder zum Handeln nach dieser Einsicht krankheitsbedingt nicht in der Lage ist und die ärztliche Zwangsmaßnahme der Behandlung der Erkrankung dient. Maßnahmen nach Satz 1 dürfen nur angeordnet werden, wenn</w:t>
      </w:r>
    </w:p>
    <w:p>
      <w:r>
        <w:t xml:space="preserve">1. erfolglos versucht worden ist, die Zustimmung der untergebrachten Person zu der Maßnahme zu erwirken,</w:t>
      </w:r>
    </w:p>
    <w:p>
      <w:r>
        <w:t xml:space="preserve">2. die Maßnahme zur Abwendung der Gefahr geeignet, in Art, Umfang und Dauer erforderlich und für die Beteiligten zumutbar ist,</w:t>
      </w:r>
    </w:p>
    <w:p>
      <w:r>
        <w:t xml:space="preserve">3. der von der Maßnahme zu erwartende Nutzen für die untergebrachte Person die mit der Maßnahme für sie verbundenen Belastungen deutlich überwiegt,</w:t>
      </w:r>
    </w:p>
    <w:p>
      <w:r>
        <w:t xml:space="preserve">4. die Behandlung nicht mit einer erheblichen Gefahr für das Leben der untergebrachten Person verbunden ist und</w:t>
      </w:r>
    </w:p>
    <w:p>
      <w:r>
        <w:t xml:space="preserve">5. bei der Abwehr von Gefahren für andere Personen eine Prüfung ergeben hat, dass die ärztliche Zwangsmaßnahme gegenüber einer besonderen Sicherungsmaßnahme nach §§ 32 und 33 das, abhängig von Dauer und Intensität, mildere Mittel ist.</w:t>
      </w:r>
    </w:p>
    <w:p>
      <w:r>
        <w:t xml:space="preserve">(2) Eine Patientenverfügung gemäß § 1827 des Bürgerlichen Gesetzbuches ist zu beachten.</w:t>
      </w:r>
    </w:p>
    <w:p>
      <w:r>
        <w:t xml:space="preserve">(3) § 10 Absatz 4 bis 8 gilt entsprechend. Von der Einholung einer richterlichen Entscheidung kann ausnahmsweise abgesehen werden, wenn</w:t>
      </w:r>
    </w:p>
    <w:p>
      <w:r>
        <w:t xml:space="preserve">1. diese nicht rechtzeitig erreichbar ist,</w:t>
      </w:r>
    </w:p>
    <w:p>
      <w:r>
        <w:t xml:space="preserve">2. eine besondere Sicherungsmaßnahme nach §§ 32 und 33 nicht geeignet oder nicht ausreichend ist, um die akute Gefährdung bis zur Erreichbarkeit der gerichtlichen Entscheidung zu überwinden und</w:t>
      </w:r>
    </w:p>
    <w:p>
      <w:r>
        <w:t xml:space="preserve">3. die sofortige ärztliche Zwangsmaßnahme zur Vermeidung einer gegenwärtigen schwerwiegenden Lebensgefahr oder einer gegenwärtigen schwerwiegenden Gefahr für die Gesundheit der untergebrachten Person oder dritter Personen erforderlich ist.</w:t>
      </w:r>
    </w:p>
    <w:p>
      <w:r>
        <w:t xml:space="preserve">(4) Eine richterliche Entscheidung ist unverzüglich zu beantragen, sofern die unmittelbare Lebensgefahr oder schwerwiegende Gefahr für die Gesundheit über einen längeren Zeitraum andauert. Die Zwangsbehandlung ist zu beenden, soweit keine akute Lebensgefahr oder schwerwiegende Gefahr für die Gesundheit mehr besteht. Eine weitere Zwangsbehandlung der Anlasskrankheit ist nur unter den Voraussetzungen des § 10 zulässig und bedarf der vorherigen richterlichen Entscheidung.</w:t>
      </w:r>
    </w:p>
    <w:p>
      <w:r>
        <w:rPr>
          <w:color w:val="555555"/>
          <w:sz w:val="17"/>
        </w:rPr>
        <w:t xml:space="preserve">Zitiervorschlag: § 11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