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StrUG NRW (Nordrhein-Westfalen) — Anwendungsbereich</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regelt die Durchführung der als Maßregeln der Besserung und Sicherung angeordneten Unterbringungen in einem psychiatrischen Krankenhaus gemäß § 63 des Strafgesetzbuches oder in einer Entziehungsanstalt gemäß § 64 des Strafgesetzbuches ein-schließlich der befristeten Wiederinvollzugsetzung gemäß § 67h des Strafgesetzbuches und der Unterbringung gemäß § 453c der Strafprozeßordnung in Verbindung mit § 463 der Strafprozeßordnung sowie gemäß § 7 Absatz 1 und § 93a des Jugendgerichtsgesetzes in der Fassung der Bekanntmachung vom 11. Dezember 1974 (BGBl. I S. 3427) in der jeweils geltenden Fassung.</w:t>
      </w:r>
    </w:p>
    <w:p>
      <w:r>
        <w:t xml:space="preserve">(2) Die Bestimmungen dieses Gesetzes sind auch anzuwenden</w:t>
      </w:r>
    </w:p>
    <w:p>
      <w:r>
        <w:t xml:space="preserve">1. bei Personen, die gemäß § 67a Absatz 2 des Strafgesetzbuches aus der Sicherungsverwahrung in den Vollzug einer Maßregel nach § 63 oder § 64 des Strafgesetzbuches überwiesen wurden, und</w:t>
      </w:r>
    </w:p>
    <w:p>
      <w:r>
        <w:t xml:space="preserve">2. wenn nach der Beendigung einer Maßregel (§ 67d Absatz 6 des Strafgesetzbuches) ein Strafrest verbleibt, der durch eine gerichtliche Entscheidung gemäß § 67 Absatz 5 Satz 2 Alternative 1 des Strafgesetzbuches als Vollzug der Maßregel fortzusetzen ist.</w:t>
      </w:r>
    </w:p>
    <w:p>
      <w:r>
        <w:t xml:space="preserve">(3) Die Bestimmungen dieses Gesetzes gelten entsprechend für den Vollzug der einstweiligen Unterbringung nach § 126a der Strafprozeßordnung, der Unterbringung zur Vorbereitung eines Gutachtens über den psychischen Zustand eines Beschuldigten nach § 81 Absatz 1 der Strafprozeßordnung und der Unterbringung zur Vorbereitung eines Gutachtens über den Entwicklungsstand eines Beschuldigten nach § 73 des Jugendgerichtsgesetzes, soweit sich aus Bundesrecht oder aus diesem Gesetz nichts Abweichendes ergibt und Zweck und Eigenart des Verfahrens nicht entgegenstehen. Für ärztliche Zwangsmaßnahmen in diesen Fällen gelten die §§ 10, 11 sowie 12.</w:t>
      </w:r>
    </w:p>
    <w:p>
      <w:r>
        <w:rPr>
          <w:color w:val="555555"/>
          <w:sz w:val="17"/>
        </w:rPr>
        <w:t xml:space="preserve">Zitiervorschlag: § 1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