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StrReinG NRW (Nordrhein-Westfalen)</w:t>
      </w:r>
    </w:p>
    <w:p>
      <w:r>
        <w:rPr>
          <w:color w:val="555555"/>
          <w:sz w:val="18"/>
        </w:rPr>
        <w:t xml:space="preserve">Straßenreinigungsgesetz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können durch Vereinbarung die Winterwartung der Fahrbahnen von Ortsdurchfahrten im Zuge von Bundesstraßen, Landesstraßen und Radschnellverbindungen des Landes dem Landesbetrieb Straßenbau Nordrhein-Westfalen, im Zuge von Kreisstraßen den Kreisen gegen Ersatz der entstehenden Kosten übertragen. Ebenso können die Gemeinden durch Vereinbarung die Winterwartung außerhalb der Ortsdurchfahrten gegen Ersatz der ihnen dadurch entstehenden Kosten übernehmen.</w:t>
      </w:r>
    </w:p>
    <w:p>
      <w:r>
        <w:rPr>
          <w:color w:val="555555"/>
          <w:sz w:val="17"/>
        </w:rPr>
        <w:t xml:space="preserve">Zitiervorschlag: § 2 StrReinG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https://recht.nulegal.eu/gesetze/StrReinG%20NRW/2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