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StrRehaHomG — Entschädigung</w:t>
      </w:r>
    </w:p>
    <w:p>
      <w:r>
        <w:rPr>
          <w:color w:val="555555"/>
          <w:sz w:val="18"/>
        </w:rPr>
        <w:t xml:space="preserve">Gesetz zur strafrechtlichen Rehabilitierung der nach dem 8. Mai 1945 wegen einvernehmlicher homosexueller Handlungen verurteilten Personen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rehabilitierten Person steht nach Aufhebung eines Urteils nach § 1 Absatz 1 und 2 sowie § 2 ein Anspruch auf Entschädigung in Geld aus dem Bundeshaushalt zu.</w:t>
      </w:r>
    </w:p>
    <w:p>
      <w:r>
        <w:t xml:space="preserve">(2) Die Entschädigung beträgt</w:t>
      </w:r>
    </w:p>
    <w:p>
      <w:pPr>
        <w:ind w:left="420"/>
      </w:pPr>
      <w:r>
        <w:t xml:space="preserve">1. 3 000 Euro je aufgehobenes Urteil und</w:t>
      </w:r>
    </w:p>
    <w:p>
      <w:pPr>
        <w:ind w:left="420"/>
      </w:pPr>
      <w:r>
        <w:t xml:space="preserve">2. 1 500 Euro je angefangenes Jahr erlittener Freiheitsentziehung.</w:t>
      </w:r>
    </w:p>
    <w:p>
      <w:r>
        <w:t xml:space="preserve">(3) Ist gemäß § 2 nur ein Teil des Urteils aufgehoben, so ist die Höhe der Entschädigung für eine erlittene Freiheitsentziehung unter Beachtung des Verhältnisses des aufgehobenen Teils zum gesamten Urteil geringer als in Absatz 2 Nummer 2 zu bemessen.</w:t>
      </w:r>
    </w:p>
    <w:p>
      <w:r>
        <w:t xml:space="preserve">(4) Der Anspruch auf Entschädigung ist nicht pfändbar, nicht übertragbar und nicht vererbbar.</w:t>
      </w:r>
    </w:p>
    <w:p>
      <w:r>
        <w:t xml:space="preserve">(5) Die Entschädigungen nach den Absätzen 1 bis 3 werden nicht auf Sozialleistungen angerechnet.</w:t>
      </w:r>
    </w:p>
    <w:p>
      <w:r>
        <w:rPr>
          <w:color w:val="555555"/>
          <w:sz w:val="17"/>
        </w:rPr>
        <w:t xml:space="preserve">Zitiervorschlag: § 5 StrRehaHomG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https://recht.nulegal.eu/gesetze/StrRehaHomG/5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