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StrRehaHomG — Tilgung im Bundeszentralregister</w:t>
      </w:r>
    </w:p>
    <w:p>
      <w:r>
        <w:rPr>
          <w:color w:val="555555"/>
          <w:sz w:val="18"/>
        </w:rPr>
        <w:t xml:space="preserve">Gesetz zur strafrechtlichen Rehabilitierung der nach dem 8. Mai 1945 wegen einvernehmlicher homosexueller Handlungen verurteilten Personen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Eintragungen im Bundeszentralregister über strafgerichtliche Urteile oder Unterbringungsanordnungen, deren vollständige Aufhebung nach § 3 Absatz 1 Satz 1 und Absatz 7 festgestellt wurde, sind auf Antrag des Verurteilten zu tilgen.</w:t>
      </w:r>
    </w:p>
    <w:p>
      <w:r>
        <w:rPr>
          <w:color w:val="555555"/>
          <w:sz w:val="17"/>
        </w:rPr>
        <w:t xml:space="preserve">Zitiervorschlag: § 4 StrRehaHomG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https://recht.nulegal.eu/gesetze/StrRehaHomG/4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